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23" w:rsidRDefault="006B03A8" w:rsidP="00181323">
      <w:pPr>
        <w:pStyle w:val="Heading8"/>
        <w:rPr>
          <w:sz w:val="28"/>
        </w:rPr>
      </w:pPr>
      <w:bookmarkStart w:id="0" w:name="_GoBack"/>
      <w:bookmarkEnd w:id="0"/>
      <w:r>
        <w:rPr>
          <w:sz w:val="28"/>
        </w:rPr>
        <w:t>SWE Employee Resource Group (ERG) Award</w:t>
      </w:r>
      <w:r w:rsidR="00181323">
        <w:rPr>
          <w:sz w:val="28"/>
        </w:rPr>
        <w:tab/>
      </w:r>
      <w:r w:rsidR="00181323">
        <w:rPr>
          <w:sz w:val="28"/>
        </w:rPr>
        <w:tab/>
      </w:r>
      <w:r w:rsidR="00181323">
        <w:rPr>
          <w:sz w:val="28"/>
        </w:rPr>
        <w:tab/>
      </w:r>
      <w:r w:rsidR="00181323">
        <w:rPr>
          <w:sz w:val="28"/>
        </w:rPr>
        <w:tab/>
      </w:r>
      <w:r w:rsidR="00181323">
        <w:rPr>
          <w:sz w:val="28"/>
        </w:rPr>
        <w:tab/>
      </w:r>
      <w:r w:rsidR="00181323">
        <w:rPr>
          <w:sz w:val="28"/>
        </w:rPr>
        <w:tab/>
      </w:r>
    </w:p>
    <w:p w:rsidR="00181323" w:rsidRDefault="006B03A8" w:rsidP="00181323">
      <w:pPr>
        <w:pStyle w:val="BodyText2"/>
        <w:jc w:val="right"/>
        <w:rPr>
          <w:rFonts w:ascii="Book Antiqua" w:hAnsi="Book Antiqua"/>
          <w:i/>
          <w:iCs/>
          <w:color w:val="006600"/>
          <w:sz w:val="18"/>
        </w:rPr>
      </w:pPr>
      <w:r>
        <w:rPr>
          <w:rFonts w:ascii="Book Antiqua" w:hAnsi="Book Antiqua"/>
          <w:i/>
          <w:iCs/>
          <w:color w:val="006600"/>
          <w:sz w:val="18"/>
        </w:rPr>
        <w:t>SWE Professional Sections and MALs are eligible for this award</w:t>
      </w:r>
    </w:p>
    <w:p w:rsidR="00181323" w:rsidRDefault="00181323" w:rsidP="00181323">
      <w:pPr>
        <w:pStyle w:val="BodyText2"/>
        <w:rPr>
          <w:rFonts w:ascii="Book Antiqua" w:hAnsi="Book Antiqua"/>
          <w:color w:val="006600"/>
          <w:sz w:val="18"/>
        </w:rPr>
      </w:pPr>
    </w:p>
    <w:p w:rsidR="00181323" w:rsidRDefault="00181323" w:rsidP="00181323">
      <w:pPr>
        <w:shd w:val="clear" w:color="auto" w:fill="FFFFFF"/>
        <w:jc w:val="both"/>
        <w:rPr>
          <w:rFonts w:ascii="Book Antiqua" w:hAnsi="Book Antiqua"/>
          <w:b/>
          <w:bCs/>
          <w:color w:val="006600"/>
          <w:sz w:val="18"/>
        </w:rPr>
      </w:pPr>
      <w:r>
        <w:rPr>
          <w:rFonts w:ascii="Book Antiqua" w:hAnsi="Book Antiqua"/>
          <w:b/>
          <w:bCs/>
          <w:color w:val="006600"/>
          <w:sz w:val="18"/>
        </w:rPr>
        <w:t>Objective</w:t>
      </w:r>
    </w:p>
    <w:p w:rsidR="00181323" w:rsidRDefault="00181323" w:rsidP="00181323">
      <w:pPr>
        <w:pStyle w:val="BodyText3"/>
        <w:jc w:val="both"/>
        <w:rPr>
          <w:sz w:val="18"/>
        </w:rPr>
      </w:pPr>
      <w:r>
        <w:rPr>
          <w:sz w:val="18"/>
        </w:rPr>
        <w:t xml:space="preserve">The ideal </w:t>
      </w:r>
      <w:r w:rsidR="006B03A8">
        <w:rPr>
          <w:sz w:val="18"/>
        </w:rPr>
        <w:t>section</w:t>
      </w:r>
      <w:r w:rsidR="005D0F75">
        <w:rPr>
          <w:sz w:val="18"/>
        </w:rPr>
        <w:t>,</w:t>
      </w:r>
      <w:r w:rsidR="006B03A8">
        <w:rPr>
          <w:sz w:val="18"/>
        </w:rPr>
        <w:t xml:space="preserve"> MAL</w:t>
      </w:r>
      <w:r w:rsidR="005D0F75">
        <w:rPr>
          <w:sz w:val="18"/>
        </w:rPr>
        <w:t>, or international members</w:t>
      </w:r>
      <w:r w:rsidR="006B03A8">
        <w:rPr>
          <w:sz w:val="18"/>
        </w:rPr>
        <w:t xml:space="preserve"> will have partnership</w:t>
      </w:r>
      <w:r w:rsidR="00CF12AB">
        <w:rPr>
          <w:sz w:val="18"/>
        </w:rPr>
        <w:t>s</w:t>
      </w:r>
      <w:r w:rsidR="006B03A8">
        <w:rPr>
          <w:sz w:val="18"/>
        </w:rPr>
        <w:t xml:space="preserve"> with </w:t>
      </w:r>
      <w:r w:rsidR="00CF12AB">
        <w:rPr>
          <w:sz w:val="18"/>
        </w:rPr>
        <w:t>one or more</w:t>
      </w:r>
      <w:r w:rsidR="006B03A8">
        <w:rPr>
          <w:sz w:val="18"/>
        </w:rPr>
        <w:t xml:space="preserve"> </w:t>
      </w:r>
      <w:r w:rsidR="003554FA">
        <w:rPr>
          <w:sz w:val="18"/>
        </w:rPr>
        <w:t>employee resource group</w:t>
      </w:r>
      <w:r w:rsidR="00CF12AB">
        <w:rPr>
          <w:sz w:val="18"/>
        </w:rPr>
        <w:t>s</w:t>
      </w:r>
      <w:r w:rsidR="003554FA">
        <w:rPr>
          <w:sz w:val="18"/>
        </w:rPr>
        <w:t xml:space="preserve"> (</w:t>
      </w:r>
      <w:r w:rsidR="006B03A8">
        <w:rPr>
          <w:sz w:val="18"/>
        </w:rPr>
        <w:t>ERG</w:t>
      </w:r>
      <w:r w:rsidR="00CF12AB">
        <w:rPr>
          <w:sz w:val="18"/>
        </w:rPr>
        <w:t>s</w:t>
      </w:r>
      <w:r w:rsidR="003554FA">
        <w:rPr>
          <w:sz w:val="18"/>
        </w:rPr>
        <w:t>)</w:t>
      </w:r>
      <w:r w:rsidR="006B03A8">
        <w:rPr>
          <w:sz w:val="18"/>
        </w:rPr>
        <w:t xml:space="preserve"> that mutually benefits both parties. </w:t>
      </w:r>
      <w:r w:rsidR="003554FA">
        <w:rPr>
          <w:sz w:val="18"/>
        </w:rPr>
        <w:t xml:space="preserve">This award collects best practices that can be featured in SWE Media. </w:t>
      </w:r>
    </w:p>
    <w:p w:rsidR="00181323" w:rsidRDefault="00181323" w:rsidP="00181323">
      <w:pPr>
        <w:pStyle w:val="BodyText3"/>
        <w:jc w:val="both"/>
        <w:rPr>
          <w:sz w:val="18"/>
        </w:rPr>
      </w:pPr>
    </w:p>
    <w:p w:rsidR="00181323" w:rsidRDefault="00181323" w:rsidP="00181323">
      <w:pPr>
        <w:pStyle w:val="Heading6"/>
        <w:jc w:val="both"/>
        <w:rPr>
          <w:sz w:val="18"/>
        </w:rPr>
      </w:pPr>
      <w:r>
        <w:rPr>
          <w:sz w:val="18"/>
        </w:rPr>
        <w:t>Qualifications</w:t>
      </w:r>
    </w:p>
    <w:p w:rsidR="00181323" w:rsidRDefault="006B03A8" w:rsidP="00181323">
      <w:p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Section</w:t>
      </w:r>
      <w:r w:rsidR="005D0F75">
        <w:rPr>
          <w:rFonts w:ascii="Book Antiqua" w:hAnsi="Book Antiqua"/>
          <w:color w:val="006600"/>
          <w:sz w:val="18"/>
        </w:rPr>
        <w:t>,</w:t>
      </w:r>
      <w:r>
        <w:rPr>
          <w:rFonts w:ascii="Book Antiqua" w:hAnsi="Book Antiqua"/>
          <w:color w:val="006600"/>
          <w:sz w:val="18"/>
        </w:rPr>
        <w:t xml:space="preserve"> MALs</w:t>
      </w:r>
      <w:r w:rsidR="005D0F75">
        <w:rPr>
          <w:rFonts w:ascii="Book Antiqua" w:hAnsi="Book Antiqua"/>
          <w:color w:val="006600"/>
          <w:sz w:val="18"/>
        </w:rPr>
        <w:t xml:space="preserve">, or international members </w:t>
      </w:r>
      <w:r w:rsidR="00181323">
        <w:rPr>
          <w:rFonts w:ascii="Book Antiqua" w:hAnsi="Book Antiqua"/>
          <w:color w:val="006600"/>
          <w:sz w:val="18"/>
        </w:rPr>
        <w:t xml:space="preserve">must be actively engaged </w:t>
      </w:r>
      <w:r>
        <w:rPr>
          <w:rFonts w:ascii="Book Antiqua" w:hAnsi="Book Antiqua"/>
          <w:color w:val="006600"/>
          <w:sz w:val="18"/>
        </w:rPr>
        <w:t xml:space="preserve">in a partnership with an ERG. Employee Resource Groups (ERGs) can be any organization at a company that organizes people from the workplace around a common goal. </w:t>
      </w:r>
      <w:r w:rsidR="003554FA">
        <w:rPr>
          <w:rFonts w:ascii="Book Antiqua" w:hAnsi="Book Antiqua"/>
          <w:color w:val="006600"/>
          <w:sz w:val="18"/>
        </w:rPr>
        <w:t xml:space="preserve">The partnership can be in any form such as a joint professional development event, sharing speakers, co-planning outreach events, or any type of support for a common goal. </w:t>
      </w:r>
    </w:p>
    <w:p w:rsidR="00181323" w:rsidRDefault="00181323" w:rsidP="00181323">
      <w:p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</w:p>
    <w:p w:rsidR="00181323" w:rsidRDefault="00570026" w:rsidP="00181323">
      <w:p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  <w:r w:rsidRPr="00570026">
        <w:rPr>
          <w:rFonts w:ascii="Book Antiqua" w:hAnsi="Book Antiqua"/>
          <w:color w:val="006600"/>
          <w:sz w:val="18"/>
        </w:rPr>
        <w:t xml:space="preserve">One award per region </w:t>
      </w:r>
      <w:r w:rsidR="005D0F75">
        <w:rPr>
          <w:rFonts w:ascii="Book Antiqua" w:hAnsi="Book Antiqua"/>
          <w:color w:val="006600"/>
          <w:sz w:val="18"/>
        </w:rPr>
        <w:t xml:space="preserve">or international conference </w:t>
      </w:r>
      <w:r w:rsidRPr="00570026">
        <w:rPr>
          <w:rFonts w:ascii="Book Antiqua" w:hAnsi="Book Antiqua"/>
          <w:color w:val="006600"/>
          <w:sz w:val="18"/>
        </w:rPr>
        <w:t>will be presented</w:t>
      </w:r>
      <w:r w:rsidR="005D0F75">
        <w:rPr>
          <w:rFonts w:ascii="Book Antiqua" w:hAnsi="Book Antiqua"/>
          <w:color w:val="006600"/>
          <w:sz w:val="18"/>
        </w:rPr>
        <w:t xml:space="preserve">. Regional awards will be judged by the corresponding award committees. International awards will be judged by international ambassadors. </w:t>
      </w:r>
    </w:p>
    <w:p w:rsidR="00181323" w:rsidRDefault="00181323" w:rsidP="00181323">
      <w:p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</w:p>
    <w:p w:rsidR="00181323" w:rsidRDefault="00181323" w:rsidP="00181323">
      <w:pPr>
        <w:pStyle w:val="Heading6"/>
        <w:jc w:val="both"/>
        <w:rPr>
          <w:sz w:val="18"/>
        </w:rPr>
      </w:pPr>
      <w:r>
        <w:rPr>
          <w:sz w:val="18"/>
        </w:rPr>
        <w:t>Selection Criteria</w:t>
      </w:r>
    </w:p>
    <w:p w:rsidR="003554FA" w:rsidRDefault="006B03A8" w:rsidP="0078157C">
      <w:pPr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  <w:r w:rsidRPr="003554FA">
        <w:rPr>
          <w:rFonts w:ascii="Book Antiqua" w:hAnsi="Book Antiqua"/>
          <w:color w:val="006600"/>
          <w:sz w:val="18"/>
          <w:u w:val="single"/>
        </w:rPr>
        <w:t>45</w:t>
      </w:r>
      <w:r w:rsidR="00181323" w:rsidRPr="003554FA">
        <w:rPr>
          <w:rFonts w:ascii="Book Antiqua" w:hAnsi="Book Antiqua"/>
          <w:color w:val="006600"/>
          <w:sz w:val="18"/>
          <w:u w:val="single"/>
        </w:rPr>
        <w:t>% SWE Participation</w:t>
      </w:r>
      <w:r w:rsidR="00181323" w:rsidRPr="003554FA">
        <w:rPr>
          <w:rFonts w:ascii="Book Antiqua" w:hAnsi="Book Antiqua"/>
          <w:color w:val="006600"/>
          <w:sz w:val="18"/>
        </w:rPr>
        <w:t>:</w:t>
      </w:r>
      <w:r w:rsidRPr="003554FA">
        <w:rPr>
          <w:rFonts w:ascii="Book Antiqua" w:hAnsi="Book Antiqua"/>
          <w:color w:val="006600"/>
          <w:sz w:val="18"/>
        </w:rPr>
        <w:t xml:space="preserve">  Include details about how SWE has helped the ERG</w:t>
      </w:r>
      <w:r w:rsidR="003554FA">
        <w:rPr>
          <w:rFonts w:ascii="Book Antiqua" w:hAnsi="Book Antiqua"/>
          <w:color w:val="006600"/>
          <w:sz w:val="18"/>
        </w:rPr>
        <w:t xml:space="preserve"> and how SWE benefited from the partnership. </w:t>
      </w:r>
    </w:p>
    <w:p w:rsidR="00181323" w:rsidRPr="003554FA" w:rsidRDefault="006B03A8" w:rsidP="0078157C">
      <w:pPr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  <w:r w:rsidRPr="003554FA">
        <w:rPr>
          <w:rFonts w:ascii="Book Antiqua" w:hAnsi="Book Antiqua"/>
          <w:color w:val="006600"/>
          <w:sz w:val="18"/>
          <w:u w:val="single"/>
        </w:rPr>
        <w:t>45</w:t>
      </w:r>
      <w:r w:rsidR="00181323" w:rsidRPr="003554FA">
        <w:rPr>
          <w:rFonts w:ascii="Book Antiqua" w:hAnsi="Book Antiqua"/>
          <w:color w:val="006600"/>
          <w:sz w:val="18"/>
          <w:u w:val="single"/>
        </w:rPr>
        <w:t xml:space="preserve">% </w:t>
      </w:r>
      <w:r w:rsidRPr="003554FA">
        <w:rPr>
          <w:rFonts w:ascii="Book Antiqua" w:hAnsi="Book Antiqua"/>
          <w:color w:val="006600"/>
          <w:sz w:val="18"/>
          <w:u w:val="single"/>
        </w:rPr>
        <w:t>ERG Participation</w:t>
      </w:r>
      <w:r w:rsidR="00181323" w:rsidRPr="003554FA">
        <w:rPr>
          <w:rFonts w:ascii="Book Antiqua" w:hAnsi="Book Antiqua"/>
          <w:color w:val="006600"/>
          <w:sz w:val="18"/>
        </w:rPr>
        <w:t xml:space="preserve">:  Include details </w:t>
      </w:r>
      <w:r w:rsidRPr="003554FA">
        <w:rPr>
          <w:rFonts w:ascii="Book Antiqua" w:hAnsi="Book Antiqua"/>
          <w:color w:val="006600"/>
          <w:sz w:val="18"/>
        </w:rPr>
        <w:t xml:space="preserve">about how the ERG’s participation helps SWE, what percentage of the ERG are SWE members. </w:t>
      </w:r>
      <w:r w:rsidR="003554FA">
        <w:rPr>
          <w:rFonts w:ascii="Book Antiqua" w:hAnsi="Book Antiqua"/>
          <w:color w:val="006600"/>
          <w:sz w:val="18"/>
        </w:rPr>
        <w:t xml:space="preserve">Describe how the ERG benefited from the partnership. </w:t>
      </w:r>
    </w:p>
    <w:p w:rsidR="00466FD8" w:rsidRPr="00466FD8" w:rsidRDefault="00181323" w:rsidP="00466FD8">
      <w:pPr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  <w:u w:val="single"/>
        </w:rPr>
        <w:t xml:space="preserve">10% </w:t>
      </w:r>
      <w:r w:rsidR="006B03A8">
        <w:rPr>
          <w:rFonts w:ascii="Book Antiqua" w:hAnsi="Book Antiqua"/>
          <w:color w:val="006600"/>
          <w:sz w:val="18"/>
          <w:u w:val="single"/>
        </w:rPr>
        <w:t>Best Practice Sharing</w:t>
      </w:r>
      <w:r>
        <w:rPr>
          <w:rFonts w:ascii="Book Antiqua" w:hAnsi="Book Antiqua"/>
          <w:color w:val="006600"/>
          <w:sz w:val="18"/>
        </w:rPr>
        <w:t xml:space="preserve">:  </w:t>
      </w:r>
      <w:r w:rsidR="00466FD8" w:rsidRPr="00466FD8">
        <w:rPr>
          <w:rFonts w:ascii="Book Antiqua" w:hAnsi="Book Antiqua"/>
          <w:color w:val="006600"/>
          <w:sz w:val="18"/>
        </w:rPr>
        <w:t>Include details that will allow other MALs, Sections, and ERGs that can be used to</w:t>
      </w:r>
    </w:p>
    <w:p w:rsidR="00181323" w:rsidRPr="00466FD8" w:rsidRDefault="00466FD8" w:rsidP="00A81735">
      <w:pPr>
        <w:shd w:val="clear" w:color="auto" w:fill="FFFFFF"/>
        <w:ind w:left="360"/>
        <w:jc w:val="both"/>
        <w:rPr>
          <w:rFonts w:ascii="Book Antiqua" w:hAnsi="Book Antiqua"/>
          <w:color w:val="006600"/>
          <w:sz w:val="18"/>
        </w:rPr>
      </w:pPr>
      <w:proofErr w:type="gramStart"/>
      <w:r w:rsidRPr="00466FD8">
        <w:rPr>
          <w:rFonts w:ascii="Book Antiqua" w:hAnsi="Book Antiqua"/>
          <w:color w:val="006600"/>
          <w:sz w:val="18"/>
        </w:rPr>
        <w:t>help</w:t>
      </w:r>
      <w:proofErr w:type="gramEnd"/>
      <w:r w:rsidRPr="00466FD8">
        <w:rPr>
          <w:rFonts w:ascii="Book Antiqua" w:hAnsi="Book Antiqua"/>
          <w:color w:val="006600"/>
          <w:sz w:val="18"/>
        </w:rPr>
        <w:t xml:space="preserve"> partner these organizations</w:t>
      </w:r>
      <w:r>
        <w:rPr>
          <w:rFonts w:ascii="Book Antiqua" w:hAnsi="Book Antiqua"/>
          <w:color w:val="006600"/>
          <w:sz w:val="18"/>
        </w:rPr>
        <w:t xml:space="preserve"> </w:t>
      </w:r>
      <w:r w:rsidRPr="00466FD8">
        <w:rPr>
          <w:rFonts w:ascii="Book Antiqua" w:hAnsi="Book Antiqua"/>
          <w:color w:val="006600"/>
          <w:sz w:val="18"/>
        </w:rPr>
        <w:t>to develop similar partnerships</w:t>
      </w:r>
      <w:r w:rsidR="003554FA" w:rsidRPr="00466FD8">
        <w:rPr>
          <w:rFonts w:ascii="Book Antiqua" w:hAnsi="Book Antiqua"/>
          <w:color w:val="006600"/>
          <w:sz w:val="18"/>
        </w:rPr>
        <w:t xml:space="preserve">. “What we’d do better/different next time” type statements are important. </w:t>
      </w:r>
    </w:p>
    <w:p w:rsidR="00181323" w:rsidRDefault="00181323" w:rsidP="006B03A8">
      <w:pPr>
        <w:shd w:val="clear" w:color="auto" w:fill="FFFFFF"/>
        <w:jc w:val="both"/>
        <w:rPr>
          <w:rFonts w:ascii="Book Antiqua" w:hAnsi="Book Antiqua"/>
          <w:color w:val="006600"/>
          <w:sz w:val="18"/>
        </w:rPr>
      </w:pPr>
    </w:p>
    <w:p w:rsidR="00181323" w:rsidRDefault="00181323" w:rsidP="00181323">
      <w:pPr>
        <w:pStyle w:val="Heading6"/>
        <w:jc w:val="both"/>
        <w:rPr>
          <w:sz w:val="18"/>
        </w:rPr>
      </w:pPr>
    </w:p>
    <w:p w:rsidR="00181323" w:rsidRDefault="00181323" w:rsidP="00181323">
      <w:pPr>
        <w:pStyle w:val="Heading6"/>
        <w:jc w:val="both"/>
        <w:rPr>
          <w:sz w:val="18"/>
        </w:rPr>
      </w:pPr>
      <w:r>
        <w:rPr>
          <w:sz w:val="18"/>
        </w:rPr>
        <w:t>Nomination Checklist</w:t>
      </w:r>
    </w:p>
    <w:p w:rsidR="00181323" w:rsidRDefault="00181323" w:rsidP="00181323">
      <w:pPr>
        <w:autoSpaceDE w:val="0"/>
        <w:autoSpaceDN w:val="0"/>
        <w:adjustRightInd w:val="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The following information constitutes a complete nomination:</w:t>
      </w:r>
    </w:p>
    <w:p w:rsidR="00181323" w:rsidRPr="003554FA" w:rsidRDefault="00181323" w:rsidP="001813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 xml:space="preserve">A completed application </w:t>
      </w:r>
      <w:r w:rsidR="006B03A8" w:rsidRPr="00A81735">
        <w:rPr>
          <w:rFonts w:ascii="Book Antiqua" w:hAnsi="Book Antiqua"/>
          <w:color w:val="006600"/>
          <w:sz w:val="18"/>
        </w:rPr>
        <w:t xml:space="preserve">(per region’s format) </w:t>
      </w:r>
    </w:p>
    <w:p w:rsidR="003554FA" w:rsidRDefault="003554FA" w:rsidP="001813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A one to two page document that describes the following:</w:t>
      </w:r>
    </w:p>
    <w:p w:rsidR="003554FA" w:rsidRDefault="003554FA" w:rsidP="003554F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 xml:space="preserve">Describe the type of partnership involved (joint event, shared training, </w:t>
      </w:r>
      <w:proofErr w:type="spellStart"/>
      <w:r>
        <w:rPr>
          <w:rFonts w:ascii="Book Antiqua" w:hAnsi="Book Antiqua"/>
          <w:color w:val="006600"/>
          <w:sz w:val="18"/>
        </w:rPr>
        <w:t>etc</w:t>
      </w:r>
      <w:proofErr w:type="spellEnd"/>
      <w:r>
        <w:rPr>
          <w:rFonts w:ascii="Book Antiqua" w:hAnsi="Book Antiqua"/>
          <w:color w:val="006600"/>
          <w:sz w:val="18"/>
        </w:rPr>
        <w:t>)</w:t>
      </w:r>
    </w:p>
    <w:p w:rsidR="003554FA" w:rsidRDefault="003554FA" w:rsidP="003554F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Describe what SWE</w:t>
      </w:r>
      <w:r w:rsidR="00CF12AB">
        <w:rPr>
          <w:rFonts w:ascii="Book Antiqua" w:hAnsi="Book Antiqua"/>
          <w:color w:val="006600"/>
          <w:sz w:val="18"/>
        </w:rPr>
        <w:t xml:space="preserve"> was</w:t>
      </w:r>
      <w:r>
        <w:rPr>
          <w:rFonts w:ascii="Book Antiqua" w:hAnsi="Book Antiqua"/>
          <w:color w:val="006600"/>
          <w:sz w:val="18"/>
        </w:rPr>
        <w:t xml:space="preserve"> responsible for planning and what the ERG planned. Include </w:t>
      </w:r>
      <w:r w:rsidR="00CF12AB">
        <w:rPr>
          <w:rFonts w:ascii="Book Antiqua" w:hAnsi="Book Antiqua"/>
          <w:color w:val="006600"/>
          <w:sz w:val="18"/>
        </w:rPr>
        <w:t>information on roles</w:t>
      </w:r>
      <w:r>
        <w:rPr>
          <w:rFonts w:ascii="Book Antiqua" w:hAnsi="Book Antiqua"/>
          <w:color w:val="006600"/>
          <w:sz w:val="18"/>
        </w:rPr>
        <w:t xml:space="preserve"> (for example if the SWE Section President is also the Events Chair on the ERG, explain the players and their roles). </w:t>
      </w:r>
    </w:p>
    <w:p w:rsidR="003554FA" w:rsidRDefault="003554FA" w:rsidP="003554F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Describe how the partnership benefited both SWE and the ERG</w:t>
      </w:r>
    </w:p>
    <w:p w:rsidR="003554FA" w:rsidRDefault="003554FA" w:rsidP="003554F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Describe what made the event successful (best practices)</w:t>
      </w:r>
    </w:p>
    <w:p w:rsidR="003554FA" w:rsidRPr="003554FA" w:rsidRDefault="003554FA" w:rsidP="003554F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Describe any changes you would suggest or how the partnership plans to grow in the future.</w:t>
      </w:r>
      <w:r w:rsidRPr="003554FA">
        <w:rPr>
          <w:rFonts w:ascii="Book Antiqua" w:hAnsi="Book Antiqua"/>
          <w:color w:val="006600"/>
          <w:sz w:val="18"/>
        </w:rPr>
        <w:t xml:space="preserve"> </w:t>
      </w:r>
    </w:p>
    <w:p w:rsidR="003554FA" w:rsidRDefault="003554FA" w:rsidP="00181323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 xml:space="preserve">Times New Roman size 10, double space, 1” </w:t>
      </w:r>
      <w:r w:rsidR="00C9340A">
        <w:rPr>
          <w:rFonts w:ascii="Book Antiqua" w:hAnsi="Book Antiqua"/>
          <w:color w:val="006600"/>
          <w:sz w:val="18"/>
        </w:rPr>
        <w:t xml:space="preserve">margins </w:t>
      </w:r>
    </w:p>
    <w:p w:rsidR="00C9340A" w:rsidRDefault="00C9340A" w:rsidP="00C934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color w:val="006600"/>
          <w:sz w:val="18"/>
        </w:rPr>
      </w:pPr>
      <w:r>
        <w:rPr>
          <w:rFonts w:ascii="Book Antiqua" w:hAnsi="Book Antiqua"/>
          <w:color w:val="006600"/>
          <w:sz w:val="18"/>
        </w:rPr>
        <w:t>Up to two photos (attached separately from the document above) may be shared and can be used by SWE for media and publications.</w:t>
      </w:r>
    </w:p>
    <w:p w:rsidR="00181323" w:rsidRDefault="00181323" w:rsidP="00181323">
      <w:pPr>
        <w:jc w:val="both"/>
        <w:rPr>
          <w:rFonts w:ascii="Book Antiqua" w:hAnsi="Book Antiqua"/>
          <w:sz w:val="18"/>
          <w:szCs w:val="20"/>
          <w:u w:val="single"/>
        </w:rPr>
      </w:pPr>
    </w:p>
    <w:p w:rsidR="006D05A8" w:rsidRDefault="006D05A8"/>
    <w:sectPr w:rsidR="006D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B7F"/>
    <w:multiLevelType w:val="hybridMultilevel"/>
    <w:tmpl w:val="895050C4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C82F65"/>
    <w:multiLevelType w:val="hybridMultilevel"/>
    <w:tmpl w:val="F07C8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B30BA"/>
    <w:multiLevelType w:val="hybridMultilevel"/>
    <w:tmpl w:val="F07C81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2C49"/>
    <w:multiLevelType w:val="hybridMultilevel"/>
    <w:tmpl w:val="895050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23"/>
    <w:rsid w:val="00076AE2"/>
    <w:rsid w:val="00181323"/>
    <w:rsid w:val="003554FA"/>
    <w:rsid w:val="00466FD8"/>
    <w:rsid w:val="005055AF"/>
    <w:rsid w:val="00570026"/>
    <w:rsid w:val="005D0F75"/>
    <w:rsid w:val="006B03A8"/>
    <w:rsid w:val="006D05A8"/>
    <w:rsid w:val="008532E2"/>
    <w:rsid w:val="00A81735"/>
    <w:rsid w:val="00C9340A"/>
    <w:rsid w:val="00CF12AB"/>
    <w:rsid w:val="00F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2B54C-D6B6-489D-B820-F8C0A1E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323"/>
    <w:pPr>
      <w:keepNext/>
      <w:shd w:val="clear" w:color="auto" w:fill="FFFFFF"/>
      <w:outlineLvl w:val="5"/>
    </w:pPr>
    <w:rPr>
      <w:rFonts w:ascii="Book Antiqua" w:hAnsi="Book Antiqua"/>
      <w:b/>
      <w:bCs/>
      <w:color w:val="0066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1323"/>
    <w:pPr>
      <w:keepNext/>
      <w:shd w:val="clear" w:color="auto" w:fill="FFFFFF"/>
      <w:jc w:val="right"/>
      <w:outlineLvl w:val="7"/>
    </w:pPr>
    <w:rPr>
      <w:rFonts w:ascii="Book Antiqua" w:hAnsi="Book Antiqua"/>
      <w:b/>
      <w:bCs/>
      <w:i/>
      <w:iCs/>
      <w:color w:val="99660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181323"/>
    <w:rPr>
      <w:rFonts w:ascii="Book Antiqua" w:eastAsia="Times New Roman" w:hAnsi="Book Antiqua" w:cs="Times New Roman"/>
      <w:b/>
      <w:bCs/>
      <w:color w:val="006600"/>
      <w:sz w:val="20"/>
      <w:szCs w:val="2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rsid w:val="00181323"/>
    <w:rPr>
      <w:rFonts w:ascii="Book Antiqua" w:eastAsia="Times New Roman" w:hAnsi="Book Antiqua" w:cs="Times New Roman"/>
      <w:b/>
      <w:bCs/>
      <w:i/>
      <w:iCs/>
      <w:color w:val="996600"/>
      <w:sz w:val="26"/>
      <w:szCs w:val="24"/>
      <w:u w:val="single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181323"/>
    <w:pPr>
      <w:autoSpaceDE w:val="0"/>
      <w:autoSpaceDN w:val="0"/>
      <w:adjustRightInd w:val="0"/>
      <w:jc w:val="both"/>
    </w:pPr>
    <w:rPr>
      <w:rFonts w:ascii="ACaslon-Regular" w:hAnsi="ACaslon-Regular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81323"/>
    <w:rPr>
      <w:rFonts w:ascii="ACaslon-Regular" w:eastAsia="Times New Roman" w:hAnsi="ACaslon-Regular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8132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81323"/>
    <w:pPr>
      <w:shd w:val="clear" w:color="auto" w:fill="FFFFFF"/>
    </w:pPr>
    <w:rPr>
      <w:rFonts w:ascii="Book Antiqua" w:hAnsi="Book Antiqua"/>
      <w:color w:val="00660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81323"/>
    <w:rPr>
      <w:rFonts w:ascii="Book Antiqua" w:eastAsia="Times New Roman" w:hAnsi="Book Antiqua" w:cs="Times New Roman"/>
      <w:color w:val="006600"/>
      <w:sz w:val="20"/>
      <w:szCs w:val="24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181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Van Dellen</dc:creator>
  <cp:keywords/>
  <dc:description/>
  <cp:lastModifiedBy>Klenke, Anna C</cp:lastModifiedBy>
  <cp:revision>2</cp:revision>
  <dcterms:created xsi:type="dcterms:W3CDTF">2016-12-13T05:13:00Z</dcterms:created>
  <dcterms:modified xsi:type="dcterms:W3CDTF">2016-12-13T05:13:00Z</dcterms:modified>
</cp:coreProperties>
</file>